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117911">
        <w:rPr>
          <w:rFonts w:ascii="Arial" w:hAnsi="Arial" w:cs="Arial"/>
          <w:b/>
          <w:sz w:val="32"/>
          <w:szCs w:val="32"/>
          <w:lang w:eastAsia="zh-CN"/>
        </w:rPr>
        <w:t xml:space="preserve">ШАРАГАЙСКОГО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7338BC">
        <w:rPr>
          <w:rFonts w:ascii="Arial" w:hAnsi="Arial" w:cs="Arial"/>
          <w:b/>
          <w:sz w:val="32"/>
          <w:szCs w:val="32"/>
          <w:lang w:eastAsia="zh-CN"/>
        </w:rPr>
        <w:t xml:space="preserve">13.11.2015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ГОДА №</w:t>
      </w:r>
      <w:r w:rsidR="007338BC">
        <w:rPr>
          <w:rFonts w:ascii="Arial" w:hAnsi="Arial" w:cs="Arial"/>
          <w:b/>
          <w:sz w:val="32"/>
          <w:szCs w:val="32"/>
          <w:lang w:eastAsia="zh-CN"/>
        </w:rPr>
        <w:t xml:space="preserve"> 23-6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117911">
        <w:rPr>
          <w:rFonts w:ascii="Arial" w:hAnsi="Arial" w:cs="Arial"/>
          <w:b/>
          <w:sz w:val="32"/>
          <w:szCs w:val="32"/>
        </w:rPr>
        <w:t xml:space="preserve">ШАРАГАЙСКОГО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373573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663B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117911">
        <w:rPr>
          <w:rFonts w:ascii="Arial" w:hAnsi="Arial" w:cs="Arial"/>
          <w:sz w:val="24"/>
          <w:szCs w:val="24"/>
          <w:lang w:eastAsia="zh-CN"/>
        </w:rPr>
        <w:t xml:space="preserve">Шарагайского 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муниципального образования от </w:t>
      </w:r>
      <w:r w:rsidR="007338BC">
        <w:rPr>
          <w:rFonts w:ascii="Arial" w:hAnsi="Arial" w:cs="Arial"/>
          <w:sz w:val="24"/>
          <w:szCs w:val="24"/>
          <w:lang w:eastAsia="zh-CN"/>
        </w:rPr>
        <w:t xml:space="preserve">13.11.2015 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года №</w:t>
      </w:r>
      <w:r w:rsidR="007338BC">
        <w:rPr>
          <w:rFonts w:ascii="Arial" w:hAnsi="Arial" w:cs="Arial"/>
          <w:sz w:val="24"/>
          <w:szCs w:val="24"/>
          <w:lang w:eastAsia="zh-CN"/>
        </w:rPr>
        <w:t>23-6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117911">
        <w:rPr>
          <w:rFonts w:ascii="Arial" w:hAnsi="Arial" w:cs="Arial"/>
          <w:sz w:val="24"/>
          <w:szCs w:val="24"/>
        </w:rPr>
        <w:t xml:space="preserve">Шарагайского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8C2BDF" w:rsidRDefault="00533D05" w:rsidP="00663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C2BDF">
        <w:rPr>
          <w:rFonts w:ascii="Arial" w:hAnsi="Arial" w:cs="Arial"/>
          <w:sz w:val="24"/>
          <w:szCs w:val="24"/>
        </w:rPr>
        <w:t xml:space="preserve">пункт 1.2 </w:t>
      </w:r>
      <w:r w:rsidR="008C2BDF" w:rsidRPr="00A906FC">
        <w:rPr>
          <w:rFonts w:ascii="Arial" w:hAnsi="Arial" w:cs="Arial"/>
          <w:sz w:val="24"/>
          <w:szCs w:val="24"/>
        </w:rPr>
        <w:t>«</w:t>
      </w:r>
      <w:r w:rsidR="008C2BDF">
        <w:rPr>
          <w:rFonts w:ascii="Arial" w:hAnsi="Arial" w:cs="Arial"/>
          <w:sz w:val="24"/>
          <w:szCs w:val="24"/>
        </w:rPr>
        <w:t>Расчетные показатели в области автомобильных дорог</w:t>
      </w:r>
      <w:r w:rsidR="00E52784">
        <w:rPr>
          <w:rFonts w:ascii="Arial" w:hAnsi="Arial" w:cs="Arial"/>
          <w:sz w:val="24"/>
          <w:szCs w:val="24"/>
        </w:rPr>
        <w:t xml:space="preserve"> местного значения</w:t>
      </w:r>
      <w:r w:rsidR="008C2BDF" w:rsidRPr="00A906FC">
        <w:rPr>
          <w:rFonts w:ascii="Arial" w:hAnsi="Arial" w:cs="Arial"/>
          <w:sz w:val="24"/>
          <w:szCs w:val="24"/>
        </w:rPr>
        <w:t>»</w:t>
      </w:r>
      <w:r w:rsidR="008C2BDF">
        <w:rPr>
          <w:rFonts w:ascii="Arial" w:hAnsi="Arial" w:cs="Arial"/>
          <w:bCs/>
          <w:sz w:val="24"/>
          <w:szCs w:val="24"/>
        </w:rPr>
        <w:t>, Основной части</w:t>
      </w:r>
      <w:r w:rsidR="008C2BDF">
        <w:rPr>
          <w:rFonts w:ascii="Arial" w:hAnsi="Arial" w:cs="Arial"/>
          <w:sz w:val="24"/>
          <w:szCs w:val="24"/>
        </w:rPr>
        <w:t xml:space="preserve">, </w:t>
      </w:r>
      <w:r w:rsidR="008C2BDF">
        <w:rPr>
          <w:rFonts w:ascii="Arial" w:hAnsi="Arial" w:cs="Arial"/>
          <w:bCs/>
          <w:sz w:val="24"/>
          <w:szCs w:val="24"/>
        </w:rPr>
        <w:t xml:space="preserve">Тома </w:t>
      </w:r>
      <w:r w:rsidR="008C2BDF">
        <w:rPr>
          <w:rFonts w:ascii="Arial" w:hAnsi="Arial" w:cs="Arial"/>
          <w:color w:val="000000"/>
          <w:sz w:val="24"/>
          <w:szCs w:val="24"/>
        </w:rPr>
        <w:t>I,</w:t>
      </w:r>
      <w:r w:rsidR="007E31C1">
        <w:rPr>
          <w:rFonts w:ascii="Arial" w:hAnsi="Arial" w:cs="Arial"/>
          <w:bCs/>
          <w:sz w:val="24"/>
          <w:szCs w:val="24"/>
        </w:rPr>
        <w:t xml:space="preserve"> изложить в новой редакции (П</w:t>
      </w:r>
      <w:r w:rsidR="008C2BDF">
        <w:rPr>
          <w:rFonts w:ascii="Arial" w:hAnsi="Arial" w:cs="Arial"/>
          <w:bCs/>
          <w:sz w:val="24"/>
          <w:szCs w:val="24"/>
        </w:rPr>
        <w:t>риложение 1).</w:t>
      </w:r>
    </w:p>
    <w:p w:rsidR="00A85E96" w:rsidRPr="00A85E96" w:rsidRDefault="00533D05" w:rsidP="00663B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A85E96">
        <w:rPr>
          <w:rFonts w:ascii="Arial" w:hAnsi="Arial" w:cs="Arial"/>
          <w:bCs/>
          <w:sz w:val="24"/>
          <w:szCs w:val="24"/>
        </w:rPr>
        <w:t xml:space="preserve">подпункт </w:t>
      </w:r>
      <w:r w:rsidR="00A85E96" w:rsidRPr="00A85E96">
        <w:rPr>
          <w:rFonts w:ascii="Arial" w:hAnsi="Arial" w:cs="Arial"/>
          <w:bCs/>
          <w:sz w:val="24"/>
          <w:szCs w:val="24"/>
        </w:rPr>
        <w:t>2.2.2.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5F4">
        <w:rPr>
          <w:rFonts w:ascii="Times New Roman" w:hAnsi="Times New Roman"/>
          <w:b/>
          <w:bCs/>
          <w:sz w:val="24"/>
          <w:szCs w:val="24"/>
        </w:rPr>
        <w:t>«</w:t>
      </w:r>
      <w:r w:rsidR="00A85E96" w:rsidRPr="00A85E96">
        <w:rPr>
          <w:rFonts w:ascii="Arial" w:hAnsi="Arial" w:cs="Arial"/>
          <w:bCs/>
          <w:sz w:val="24"/>
          <w:szCs w:val="24"/>
        </w:rPr>
        <w:t>Обоснование расчетных показателей в области автомобильных дорог местного значения</w:t>
      </w:r>
      <w:r w:rsidR="00663B43">
        <w:rPr>
          <w:rFonts w:ascii="Arial" w:hAnsi="Arial" w:cs="Arial"/>
          <w:bCs/>
          <w:sz w:val="24"/>
          <w:szCs w:val="24"/>
        </w:rPr>
        <w:t>»,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E96">
        <w:rPr>
          <w:rFonts w:ascii="Arial" w:hAnsi="Arial" w:cs="Arial"/>
          <w:bCs/>
          <w:sz w:val="24"/>
          <w:szCs w:val="24"/>
        </w:rPr>
        <w:t xml:space="preserve">пункт 2.2 </w:t>
      </w:r>
      <w:r w:rsidR="00663B43">
        <w:rPr>
          <w:rFonts w:ascii="Arial" w:hAnsi="Arial" w:cs="Arial"/>
          <w:bCs/>
          <w:sz w:val="24"/>
          <w:szCs w:val="24"/>
        </w:rPr>
        <w:t xml:space="preserve">«Обоснования расчетных показателей», </w:t>
      </w:r>
      <w:r w:rsidR="00A85E96">
        <w:rPr>
          <w:rFonts w:ascii="Arial" w:hAnsi="Arial" w:cs="Arial"/>
          <w:bCs/>
          <w:sz w:val="24"/>
          <w:szCs w:val="24"/>
        </w:rPr>
        <w:t xml:space="preserve">Тома </w:t>
      </w:r>
      <w:r w:rsidR="00A85E96">
        <w:rPr>
          <w:rFonts w:ascii="Arial" w:hAnsi="Arial" w:cs="Arial"/>
          <w:bCs/>
          <w:sz w:val="24"/>
          <w:szCs w:val="24"/>
          <w:lang w:val="en-US"/>
        </w:rPr>
        <w:t>II</w:t>
      </w:r>
      <w:r w:rsidR="00A85E96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="007E31C1">
        <w:rPr>
          <w:rFonts w:ascii="Arial" w:hAnsi="Arial" w:cs="Arial"/>
          <w:bCs/>
          <w:sz w:val="24"/>
          <w:szCs w:val="24"/>
        </w:rPr>
        <w:t xml:space="preserve"> (Приложение 2).</w:t>
      </w:r>
    </w:p>
    <w:p w:rsidR="002F5E3D" w:rsidRPr="00B552F7" w:rsidRDefault="002F5E3D" w:rsidP="00663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C27904" w:rsidRDefault="00C27904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0F20C6" w:rsidRPr="005F30B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FF11B6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CF3A63" w:rsidRDefault="00CF3A63" w:rsidP="00C551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CF3A63" w:rsidRPr="006B67D6" w:rsidRDefault="00CF3A63" w:rsidP="00CF3A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373573" w:rsidRPr="00373573">
        <w:rPr>
          <w:rFonts w:ascii="Courier New" w:hAnsi="Courier New" w:cs="Courier New"/>
        </w:rPr>
        <w:t xml:space="preserve"> </w:t>
      </w:r>
      <w:r w:rsidR="00373573">
        <w:rPr>
          <w:rFonts w:ascii="Courier New" w:hAnsi="Courier New" w:cs="Courier New"/>
        </w:rPr>
        <w:t>№</w:t>
      </w:r>
    </w:p>
    <w:p w:rsidR="00CF3A63" w:rsidRDefault="00CF3A63" w:rsidP="00CF3A63">
      <w:pPr>
        <w:jc w:val="right"/>
        <w:rPr>
          <w:rFonts w:ascii="Courier New" w:hAnsi="Courier New" w:cs="Courier New"/>
        </w:rPr>
      </w:pPr>
    </w:p>
    <w:p w:rsidR="0020456D" w:rsidRPr="00E52784" w:rsidRDefault="00E52784" w:rsidP="005F04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2784">
        <w:rPr>
          <w:rFonts w:ascii="Arial" w:hAnsi="Arial" w:cs="Arial"/>
          <w:bCs/>
          <w:sz w:val="24"/>
          <w:szCs w:val="24"/>
        </w:rPr>
        <w:t>1.2</w:t>
      </w:r>
      <w:r w:rsidR="0020456D" w:rsidRPr="00E52784">
        <w:rPr>
          <w:rFonts w:ascii="Arial" w:hAnsi="Arial" w:cs="Arial"/>
          <w:bCs/>
          <w:sz w:val="24"/>
          <w:szCs w:val="24"/>
        </w:rPr>
        <w:t xml:space="preserve">. Расчетные показатели </w:t>
      </w:r>
      <w:r w:rsidRPr="00E52784">
        <w:rPr>
          <w:rFonts w:ascii="Arial" w:hAnsi="Arial" w:cs="Arial"/>
          <w:bCs/>
          <w:sz w:val="24"/>
          <w:szCs w:val="24"/>
        </w:rPr>
        <w:t>в области автомобильных дорог местного значения</w:t>
      </w:r>
    </w:p>
    <w:p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 xml:space="preserve">Для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населенных пунктов </w:t>
      </w:r>
      <w:r w:rsidR="00117911">
        <w:rPr>
          <w:rFonts w:ascii="Arial" w:hAnsi="Arial" w:cs="Arial"/>
          <w:spacing w:val="-1"/>
          <w:sz w:val="24"/>
          <w:szCs w:val="24"/>
        </w:rPr>
        <w:t xml:space="preserve">Шарагайского </w:t>
      </w:r>
      <w:r w:rsidRPr="00E52784">
        <w:rPr>
          <w:rFonts w:ascii="Arial" w:hAnsi="Arial" w:cs="Arial"/>
          <w:sz w:val="24"/>
          <w:szCs w:val="24"/>
        </w:rPr>
        <w:t xml:space="preserve">муниципального образования -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минимально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допустимого уровня обеспеченности объектами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области автомобильных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дорог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местного значения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границах населенных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пунктов </w:t>
      </w:r>
      <w:r w:rsidRPr="00E52784">
        <w:rPr>
          <w:rFonts w:ascii="Arial" w:hAnsi="Arial" w:cs="Arial"/>
          <w:sz w:val="24"/>
          <w:szCs w:val="24"/>
        </w:rPr>
        <w:t xml:space="preserve">и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территориальной </w:t>
      </w:r>
      <w:r w:rsidRPr="00E52784">
        <w:rPr>
          <w:rFonts w:ascii="Arial" w:hAnsi="Arial" w:cs="Arial"/>
          <w:spacing w:val="-1"/>
          <w:sz w:val="24"/>
          <w:szCs w:val="24"/>
        </w:rPr>
        <w:t>доступности таких объектов для населения поселения.</w:t>
      </w:r>
    </w:p>
    <w:p w:rsidR="00E52784" w:rsidRPr="00E52784" w:rsidRDefault="00E52784" w:rsidP="00E52784">
      <w:pPr>
        <w:jc w:val="right"/>
        <w:rPr>
          <w:rFonts w:ascii="Arial" w:hAnsi="Arial" w:cs="Arial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>Таблица 2</w:t>
      </w:r>
    </w:p>
    <w:p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1"/>
        <w:gridCol w:w="1742"/>
        <w:gridCol w:w="100"/>
        <w:gridCol w:w="2060"/>
        <w:gridCol w:w="67"/>
        <w:gridCol w:w="2409"/>
        <w:gridCol w:w="42"/>
        <w:gridCol w:w="2793"/>
      </w:tblGrid>
      <w:tr w:rsidR="00E52784" w:rsidRPr="00E52784" w:rsidTr="00FF11B6">
        <w:tc>
          <w:tcPr>
            <w:tcW w:w="426" w:type="dxa"/>
          </w:tcPr>
          <w:p w:rsidR="00E52784" w:rsidRPr="00E52784" w:rsidRDefault="00E52784" w:rsidP="00167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 минимально допустимого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уровня обеспеченности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объектами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максимально допустимого уровня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территориальной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доступности объектов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Область применения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E52784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78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6465F4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Минимальная обеспеченность – 5,2 км 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663B43">
        <w:trPr>
          <w:trHeight w:val="1414"/>
        </w:trPr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771AAF">
              <w:rPr>
                <w:rFonts w:ascii="Courier New" w:hAnsi="Courier New" w:cs="Courier New"/>
              </w:rPr>
              <w:t xml:space="preserve">с твердым покрытием </w:t>
            </w:r>
            <w:r w:rsidRPr="00771AAF">
              <w:rPr>
                <w:rFonts w:ascii="Courier New" w:hAnsi="Courier New" w:cs="Courier New"/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Парковка </w:t>
            </w: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(парковочные места) 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На территории населенного пункта поселения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Пешеходный переход</w:t>
            </w:r>
          </w:p>
        </w:tc>
        <w:tc>
          <w:tcPr>
            <w:tcW w:w="2160" w:type="dxa"/>
            <w:gridSpan w:val="2"/>
          </w:tcPr>
          <w:p w:rsidR="00117911" w:rsidRPr="00117911" w:rsidRDefault="00117911" w:rsidP="00117911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>Не менее 2 объектов (для поселковых дорог, главных и основных улиц):</w:t>
            </w:r>
          </w:p>
          <w:p w:rsidR="00117911" w:rsidRPr="00117911" w:rsidRDefault="00117911" w:rsidP="00117911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>с. Шарагай – 2 объектов;</w:t>
            </w:r>
          </w:p>
          <w:p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518" w:type="dxa"/>
            <w:gridSpan w:val="3"/>
          </w:tcPr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На каждые 300 метров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улично-дорожной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сети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Количество объектов </w:t>
            </w:r>
            <w:r w:rsidRPr="00771AAF">
              <w:rPr>
                <w:rFonts w:ascii="Courier New" w:hAnsi="Courier New" w:cs="Courier New"/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771AAF">
              <w:rPr>
                <w:rFonts w:ascii="Courier New" w:hAnsi="Courier New" w:cs="Courier New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117911" w:rsidRPr="00117911" w:rsidRDefault="00117911" w:rsidP="00117911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 xml:space="preserve">Не менее 1 автобусной остановки для автобусов </w:t>
            </w:r>
            <w:r w:rsidRPr="00117911">
              <w:rPr>
                <w:rFonts w:ascii="Courier New" w:hAnsi="Courier New" w:cs="Courier New"/>
                <w:spacing w:val="-1"/>
              </w:rPr>
              <w:lastRenderedPageBreak/>
              <w:t>(маршрутных такси):</w:t>
            </w:r>
          </w:p>
          <w:p w:rsidR="00117911" w:rsidRPr="00117911" w:rsidRDefault="00117911" w:rsidP="00117911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>с. Шарагай – 1;</w:t>
            </w:r>
          </w:p>
          <w:p w:rsidR="00E52784" w:rsidRPr="00771AAF" w:rsidRDefault="00E52784" w:rsidP="00663B43">
            <w:pPr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663B43">
            <w:pPr>
              <w:spacing w:after="0"/>
              <w:ind w:left="102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lastRenderedPageBreak/>
              <w:t>Радиус обслуживания не более 600 м.</w:t>
            </w:r>
          </w:p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102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При подготовке проекта планировки территории. </w:t>
            </w:r>
            <w:r w:rsidRPr="00771AAF">
              <w:rPr>
                <w:rFonts w:ascii="Courier New" w:hAnsi="Courier New" w:cs="Courier New"/>
              </w:rPr>
              <w:lastRenderedPageBreak/>
              <w:t>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jc w:val="both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:rsidR="00E52784" w:rsidRPr="00771AAF" w:rsidRDefault="00E52784" w:rsidP="00663B4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  <w:tr w:rsidR="00E52784" w:rsidRPr="00E52784" w:rsidTr="00FF11B6">
        <w:tc>
          <w:tcPr>
            <w:tcW w:w="527" w:type="dxa"/>
            <w:gridSpan w:val="2"/>
          </w:tcPr>
          <w:p w:rsidR="00E52784" w:rsidRPr="00771AAF" w:rsidRDefault="00501DD3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5.</w:t>
            </w:r>
          </w:p>
        </w:tc>
        <w:tc>
          <w:tcPr>
            <w:tcW w:w="1842" w:type="dxa"/>
            <w:gridSpan w:val="2"/>
          </w:tcPr>
          <w:p w:rsidR="00E52784" w:rsidRPr="00771AAF" w:rsidRDefault="007E4E1A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Велосипедные дорожки</w:t>
            </w:r>
          </w:p>
        </w:tc>
        <w:tc>
          <w:tcPr>
            <w:tcW w:w="2127" w:type="dxa"/>
            <w:gridSpan w:val="2"/>
          </w:tcPr>
          <w:p w:rsidR="00495114" w:rsidRPr="00771AAF" w:rsidRDefault="007E4E1A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Ширина велосипедной полосы по краю проезжей части улиц и дорог </w:t>
            </w:r>
          </w:p>
          <w:p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- при движении в направлении транспортного потока не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>менее 1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>,2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 м. </w:t>
            </w:r>
          </w:p>
          <w:p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- при встречном движении транспортного потока не менее 1,5</w:t>
            </w:r>
          </w:p>
          <w:p w:rsidR="00E52784" w:rsidRPr="00771AAF" w:rsidRDefault="004C548D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Ширина велосипедной полосы</w:t>
            </w:r>
            <w:r w:rsidR="00AE7F7D" w:rsidRPr="00771AAF">
              <w:rPr>
                <w:rFonts w:ascii="Courier New" w:hAnsi="Courier New" w:cs="Courier New"/>
                <w:bCs/>
                <w:spacing w:val="-1"/>
              </w:rPr>
              <w:t xml:space="preserve"> вдоль тро</w:t>
            </w:r>
            <w:r w:rsidRPr="00771AAF">
              <w:rPr>
                <w:rFonts w:ascii="Courier New" w:hAnsi="Courier New" w:cs="Courier New"/>
                <w:bCs/>
                <w:spacing w:val="-1"/>
              </w:rPr>
              <w:t>туара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 xml:space="preserve"> не менее 1 м.</w:t>
            </w:r>
          </w:p>
        </w:tc>
        <w:tc>
          <w:tcPr>
            <w:tcW w:w="2409" w:type="dxa"/>
          </w:tcPr>
          <w:p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835" w:type="dxa"/>
            <w:gridSpan w:val="2"/>
          </w:tcPr>
          <w:p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67CCF" w:rsidRPr="00E52784" w:rsidTr="006465F4">
        <w:trPr>
          <w:trHeight w:val="1602"/>
        </w:trPr>
        <w:tc>
          <w:tcPr>
            <w:tcW w:w="9740" w:type="dxa"/>
            <w:gridSpan w:val="9"/>
          </w:tcPr>
          <w:p w:rsidR="00495114" w:rsidRPr="00771AAF" w:rsidRDefault="00495114" w:rsidP="006465F4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  <w:r w:rsidR="006465F4" w:rsidRPr="00771AAF">
              <w:rPr>
                <w:rFonts w:ascii="Courier New" w:hAnsi="Courier New" w:cs="Courier New"/>
                <w:b/>
                <w:bCs/>
                <w:spacing w:val="-1"/>
              </w:rPr>
              <w:t>:</w:t>
            </w:r>
            <w:r w:rsidR="006465F4" w:rsidRPr="00771AAF">
              <w:rPr>
                <w:rFonts w:ascii="Courier New" w:eastAsiaTheme="minorHAnsi" w:hAnsi="Courier New" w:cs="Courier New"/>
                <w:lang w:eastAsia="en-US"/>
              </w:rPr>
      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      </w:r>
          </w:p>
        </w:tc>
      </w:tr>
    </w:tbl>
    <w:p w:rsidR="00C0004B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71AAF" w:rsidRDefault="00771AAF" w:rsidP="00771AAF">
      <w:pPr>
        <w:spacing w:after="0" w:line="240" w:lineRule="auto"/>
        <w:rPr>
          <w:rFonts w:ascii="Courier New" w:hAnsi="Courier New" w:cs="Courier New"/>
        </w:rPr>
      </w:pPr>
    </w:p>
    <w:p w:rsidR="007E31C1" w:rsidRDefault="007E31C1" w:rsidP="00771A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7E31C1" w:rsidRPr="006B67D6" w:rsidRDefault="007E31C1" w:rsidP="007E31C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373573" w:rsidRPr="00373573">
        <w:rPr>
          <w:rFonts w:ascii="Courier New" w:hAnsi="Courier New" w:cs="Courier New"/>
        </w:rPr>
        <w:t xml:space="preserve"> </w:t>
      </w:r>
      <w:r w:rsidR="00373573">
        <w:rPr>
          <w:rFonts w:ascii="Courier New" w:hAnsi="Courier New" w:cs="Courier New"/>
        </w:rPr>
        <w:t>№</w:t>
      </w: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1">
        <w:rPr>
          <w:rFonts w:ascii="Arial" w:hAnsi="Arial" w:cs="Arial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31C1" w:rsidRPr="007E31C1" w:rsidRDefault="007E31C1" w:rsidP="007E31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>Таблица 8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41"/>
        <w:gridCol w:w="2510"/>
        <w:gridCol w:w="42"/>
        <w:gridCol w:w="3644"/>
        <w:gridCol w:w="41"/>
        <w:gridCol w:w="3077"/>
      </w:tblGrid>
      <w:tr w:rsidR="007E31C1" w:rsidRPr="00771AAF" w:rsidTr="007E31C1">
        <w:tc>
          <w:tcPr>
            <w:tcW w:w="426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077" w:type="dxa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1.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твердым покрытием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Рекомендуемые поперечные профили улиц и дорог сельских поселений:</w:t>
            </w:r>
          </w:p>
          <w:p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20 м - поселковая дорога; 21, 22, 23 м - главная улица; 24 м - основна</w:t>
            </w:r>
            <w:r w:rsidR="00117911">
              <w:rPr>
                <w:rFonts w:ascii="Courier New" w:hAnsi="Courier New" w:cs="Courier New"/>
              </w:rPr>
              <w:t xml:space="preserve">я улица в жилой застройке; 25м </w:t>
            </w:r>
            <w:r w:rsidRPr="00771AAF">
              <w:rPr>
                <w:rFonts w:ascii="Courier New" w:hAnsi="Courier New" w:cs="Courier New"/>
              </w:rPr>
              <w:t>- второстепенный (переулок) улица в жилой застройке.</w:t>
            </w:r>
          </w:p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117911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 xml:space="preserve">2. 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 xml:space="preserve">Парковка (парковочные места) </w:t>
            </w: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771AAF">
              <w:rPr>
                <w:rFonts w:ascii="Courier New" w:hAnsi="Courier New" w:cs="Courier New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 </w:t>
            </w: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:rsidR="007E31C1" w:rsidRPr="00771AAF" w:rsidRDefault="007E31C1" w:rsidP="00CB1E4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771AAF">
              <w:rPr>
                <w:rFonts w:ascii="Courier New" w:hAnsi="Courier New" w:cs="Courier New"/>
                <w:lang w:val="ru-RU"/>
              </w:rPr>
              <w:t xml:space="preserve">Раздел </w:t>
            </w:r>
            <w:r w:rsidRPr="00771AAF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771AAF">
              <w:rPr>
                <w:rFonts w:ascii="Courier New" w:hAnsi="Courier New" w:cs="Courier New"/>
                <w:lang w:val="ru-RU"/>
              </w:rPr>
              <w:t>СП</w:t>
            </w:r>
            <w:r w:rsidRPr="00771AAF">
              <w:rPr>
                <w:rFonts w:ascii="Courier New" w:hAnsi="Courier New" w:cs="Courier New"/>
                <w:spacing w:val="-2"/>
                <w:lang w:val="ru-RU"/>
              </w:rPr>
              <w:t xml:space="preserve"> 42.13330.2011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Приложение</w:t>
            </w:r>
            <w:r w:rsidRPr="00771AAF">
              <w:rPr>
                <w:rFonts w:ascii="Courier New" w:hAnsi="Courier New" w:cs="Courier New"/>
              </w:rPr>
              <w:t xml:space="preserve"> К СП </w:t>
            </w:r>
            <w:r w:rsidRPr="00771AAF">
              <w:rPr>
                <w:rFonts w:ascii="Courier New" w:hAnsi="Courier New" w:cs="Courier New"/>
                <w:spacing w:val="-1"/>
              </w:rPr>
              <w:t>42.13330.2011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 xml:space="preserve">муниципального образования; 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Пешеходный переход</w:t>
            </w: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минимизировать время затраченное пешеходом в зимний период и п</w:t>
            </w:r>
            <w:r w:rsidRPr="00771AAF">
              <w:rPr>
                <w:rFonts w:ascii="Courier New" w:hAnsi="Courier New" w:cs="Courier New"/>
              </w:rPr>
              <w:t>овышения транспортной безопасности дорожного движения.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 xml:space="preserve">муниципального образования; </w:t>
            </w:r>
          </w:p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4.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СП 42.13330.2011 «Градостроительство. Планировка и застройка городских и сельских поселений». П. 11.15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ОСТ</w:t>
            </w:r>
            <w:r w:rsidRPr="00771AAF">
              <w:rPr>
                <w:rFonts w:ascii="Courier New" w:hAnsi="Courier New" w:cs="Courier New"/>
                <w:spacing w:val="-1"/>
              </w:rPr>
              <w:tab/>
              <w:t>218.1.002-2003. «Автобусные остановки на автомобильных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дорогах. Общие технические требования»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lastRenderedPageBreak/>
              <w:t>Обоснование применения: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 xml:space="preserve">муниципального образования; </w:t>
            </w:r>
          </w:p>
          <w:p w:rsidR="007E31C1" w:rsidRPr="00771AAF" w:rsidRDefault="007E31C1" w:rsidP="00663B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385" w:type="dxa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551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3686" w:type="dxa"/>
            <w:gridSpan w:val="2"/>
          </w:tcPr>
          <w:p w:rsidR="007E31C1" w:rsidRPr="00771AAF" w:rsidRDefault="003A7FB7" w:rsidP="003A7FB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118" w:type="dxa"/>
            <w:gridSpan w:val="2"/>
          </w:tcPr>
          <w:p w:rsidR="007E31C1" w:rsidRPr="00771AAF" w:rsidRDefault="00742529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42529" w:rsidRPr="00771AAF" w:rsidTr="00730DEA">
        <w:tc>
          <w:tcPr>
            <w:tcW w:w="9740" w:type="dxa"/>
            <w:gridSpan w:val="7"/>
          </w:tcPr>
          <w:p w:rsidR="006465F4" w:rsidRPr="00771AAF" w:rsidRDefault="00742529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spacing w:val="-1"/>
              </w:rPr>
              <w:t>Обоснование применения:</w:t>
            </w:r>
            <w:r w:rsidRPr="00771AAF">
              <w:rPr>
                <w:rFonts w:ascii="Courier New" w:eastAsiaTheme="minorHAnsi" w:hAnsi="Courier New" w:cs="Courier New"/>
                <w:b/>
                <w:bCs/>
                <w:lang w:eastAsia="en-US"/>
              </w:rPr>
              <w:t xml:space="preserve"> </w:t>
            </w:r>
            <w:r w:rsidR="006465F4" w:rsidRPr="00771AAF">
              <w:rPr>
                <w:rFonts w:ascii="Courier New" w:hAnsi="Courier New" w:cs="Courier New"/>
                <w:bCs/>
                <w:spacing w:val="-1"/>
              </w:rPr>
              <w:t xml:space="preserve">Условия движения: одностороннее, двустороннее. </w:t>
            </w:r>
            <w:r w:rsidR="006465F4" w:rsidRPr="00771AAF">
              <w:rPr>
                <w:rFonts w:ascii="Courier New" w:hAnsi="Courier New" w:cs="Courier New"/>
              </w:rPr>
              <w:t xml:space="preserve">Расстояние от края велодорожки, не менее: </w:t>
            </w:r>
          </w:p>
          <w:p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проезжай части, опор транспортных сооружений и деревьев – 0,75 м;</w:t>
            </w:r>
          </w:p>
          <w:p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тротуаров – 0,5 м;</w:t>
            </w:r>
          </w:p>
          <w:p w:rsidR="00742529" w:rsidRPr="00771AAF" w:rsidRDefault="006465F4" w:rsidP="0064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771AAF">
              <w:rPr>
                <w:rFonts w:ascii="Courier New" w:hAnsi="Courier New" w:cs="Courier New"/>
              </w:rPr>
              <w:t>- до стоянок автомобилей и остановок общественного транспорта – 1,5 м.</w:t>
            </w:r>
          </w:p>
        </w:tc>
      </w:tr>
    </w:tbl>
    <w:p w:rsidR="007E31C1" w:rsidRPr="00771AAF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Pr="00781FF8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7E31C1" w:rsidRPr="00781FF8" w:rsidSect="00C27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6" w:rsidRDefault="00E915E6" w:rsidP="00D37FFD">
      <w:pPr>
        <w:spacing w:after="0" w:line="240" w:lineRule="auto"/>
      </w:pPr>
      <w:r>
        <w:separator/>
      </w:r>
    </w:p>
  </w:endnote>
  <w:endnote w:type="continuationSeparator" w:id="0">
    <w:p w:rsidR="00E915E6" w:rsidRDefault="00E915E6" w:rsidP="00D3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FD" w:rsidRDefault="00D37F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FD" w:rsidRDefault="00D37FF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FD" w:rsidRDefault="00D37F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6" w:rsidRDefault="00E915E6" w:rsidP="00D37FFD">
      <w:pPr>
        <w:spacing w:after="0" w:line="240" w:lineRule="auto"/>
      </w:pPr>
      <w:r>
        <w:separator/>
      </w:r>
    </w:p>
  </w:footnote>
  <w:footnote w:type="continuationSeparator" w:id="0">
    <w:p w:rsidR="00E915E6" w:rsidRDefault="00E915E6" w:rsidP="00D3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FD" w:rsidRDefault="00D37F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FD" w:rsidRPr="00D37FFD" w:rsidRDefault="00D37FFD">
    <w:pPr>
      <w:pStyle w:val="ab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</w:t>
    </w:r>
    <w:bookmarkStart w:id="0" w:name="_GoBack"/>
    <w:bookmarkEnd w:id="0"/>
    <w:r w:rsidRPr="00D37FFD">
      <w:rPr>
        <w:rFonts w:ascii="Arial" w:hAnsi="Arial" w:cs="Arial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FD" w:rsidRDefault="00D37F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F20C6"/>
    <w:rsid w:val="00111198"/>
    <w:rsid w:val="00117911"/>
    <w:rsid w:val="001362DE"/>
    <w:rsid w:val="001A4AF9"/>
    <w:rsid w:val="001C2AC7"/>
    <w:rsid w:val="001D1BE1"/>
    <w:rsid w:val="0020456D"/>
    <w:rsid w:val="00217898"/>
    <w:rsid w:val="00232AFE"/>
    <w:rsid w:val="00257DFE"/>
    <w:rsid w:val="002744E0"/>
    <w:rsid w:val="002E506D"/>
    <w:rsid w:val="002F37DE"/>
    <w:rsid w:val="002F5E3D"/>
    <w:rsid w:val="00337606"/>
    <w:rsid w:val="00373573"/>
    <w:rsid w:val="003929B2"/>
    <w:rsid w:val="003A7FB7"/>
    <w:rsid w:val="00403880"/>
    <w:rsid w:val="00495114"/>
    <w:rsid w:val="004B32BA"/>
    <w:rsid w:val="004C3F9D"/>
    <w:rsid w:val="004C548D"/>
    <w:rsid w:val="004E2CDD"/>
    <w:rsid w:val="00501DD3"/>
    <w:rsid w:val="00524E9A"/>
    <w:rsid w:val="00530FFE"/>
    <w:rsid w:val="00533D05"/>
    <w:rsid w:val="00564978"/>
    <w:rsid w:val="00574B1D"/>
    <w:rsid w:val="00582BF9"/>
    <w:rsid w:val="00596080"/>
    <w:rsid w:val="005D3567"/>
    <w:rsid w:val="005F0492"/>
    <w:rsid w:val="00611F8F"/>
    <w:rsid w:val="0063612F"/>
    <w:rsid w:val="006465F4"/>
    <w:rsid w:val="00657FC7"/>
    <w:rsid w:val="00663B43"/>
    <w:rsid w:val="00664010"/>
    <w:rsid w:val="006C52A9"/>
    <w:rsid w:val="006E495F"/>
    <w:rsid w:val="006E4C17"/>
    <w:rsid w:val="0070221F"/>
    <w:rsid w:val="00704FB6"/>
    <w:rsid w:val="00720823"/>
    <w:rsid w:val="007338BC"/>
    <w:rsid w:val="00742529"/>
    <w:rsid w:val="00742B21"/>
    <w:rsid w:val="00766217"/>
    <w:rsid w:val="00771AAF"/>
    <w:rsid w:val="00781FF8"/>
    <w:rsid w:val="007E31C1"/>
    <w:rsid w:val="007E4E1A"/>
    <w:rsid w:val="008771D8"/>
    <w:rsid w:val="008C2BDF"/>
    <w:rsid w:val="008C4BCF"/>
    <w:rsid w:val="008E1E1B"/>
    <w:rsid w:val="0091397F"/>
    <w:rsid w:val="009A1DF3"/>
    <w:rsid w:val="009B6B4C"/>
    <w:rsid w:val="009D19A1"/>
    <w:rsid w:val="009D1BA8"/>
    <w:rsid w:val="009D53F2"/>
    <w:rsid w:val="009F743A"/>
    <w:rsid w:val="00A10C2A"/>
    <w:rsid w:val="00A14FFC"/>
    <w:rsid w:val="00A85E96"/>
    <w:rsid w:val="00A906FC"/>
    <w:rsid w:val="00AB34C3"/>
    <w:rsid w:val="00AB4686"/>
    <w:rsid w:val="00AC6435"/>
    <w:rsid w:val="00AE7F7D"/>
    <w:rsid w:val="00B46AD5"/>
    <w:rsid w:val="00B552F7"/>
    <w:rsid w:val="00B55DB8"/>
    <w:rsid w:val="00B71E4A"/>
    <w:rsid w:val="00B8286A"/>
    <w:rsid w:val="00BB30FC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37FFD"/>
    <w:rsid w:val="00DA7D30"/>
    <w:rsid w:val="00E25856"/>
    <w:rsid w:val="00E4145B"/>
    <w:rsid w:val="00E52784"/>
    <w:rsid w:val="00E70536"/>
    <w:rsid w:val="00E72EDF"/>
    <w:rsid w:val="00E915E6"/>
    <w:rsid w:val="00EC31CE"/>
    <w:rsid w:val="00F20EA8"/>
    <w:rsid w:val="00F77874"/>
    <w:rsid w:val="00FB5D50"/>
    <w:rsid w:val="00FD55D2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E53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7F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7F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2020-10-06T08:44:00Z</cp:lastPrinted>
  <dcterms:created xsi:type="dcterms:W3CDTF">2019-09-18T01:32:00Z</dcterms:created>
  <dcterms:modified xsi:type="dcterms:W3CDTF">2020-10-15T03:47:00Z</dcterms:modified>
</cp:coreProperties>
</file>